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CD" w:rsidRPr="00173719" w:rsidRDefault="009F709F">
      <w:pPr>
        <w:rPr>
          <w:b/>
          <w:color w:val="F79646" w:themeColor="accent6"/>
          <w:sz w:val="30"/>
          <w:szCs w:val="30"/>
        </w:rPr>
      </w:pPr>
      <w:r w:rsidRPr="00173719">
        <w:rPr>
          <w:b/>
          <w:color w:val="F79646" w:themeColor="accent6"/>
          <w:sz w:val="30"/>
          <w:szCs w:val="30"/>
        </w:rPr>
        <w:t>Accijnsverhoging België: dit moet u weten!</w:t>
      </w:r>
    </w:p>
    <w:p w:rsidR="009F6035" w:rsidRDefault="00F95502">
      <w:pPr>
        <w:rPr>
          <w:rFonts w:ascii="Verdana" w:hAnsi="Verdana"/>
          <w:sz w:val="20"/>
          <w:szCs w:val="20"/>
        </w:rPr>
      </w:pPr>
      <w:r>
        <w:t xml:space="preserve">In België is vanaf 1 november 2015 de accijns verhoogt met </w:t>
      </w:r>
      <w:r>
        <w:rPr>
          <w:rFonts w:cstheme="minorHAnsi"/>
        </w:rPr>
        <w:t xml:space="preserve">€ </w:t>
      </w:r>
      <w:r>
        <w:t xml:space="preserve">0,002 per liter. Hiermee is het totale accijnsbedrag komen te liggen op </w:t>
      </w:r>
      <w:r>
        <w:rPr>
          <w:rFonts w:ascii="Verdana" w:hAnsi="Verdana"/>
          <w:sz w:val="20"/>
          <w:szCs w:val="20"/>
        </w:rPr>
        <w:t>0,0790017.</w:t>
      </w:r>
      <w:r w:rsidR="009F6035">
        <w:rPr>
          <w:rFonts w:ascii="Verdana" w:hAnsi="Verdana"/>
          <w:sz w:val="20"/>
          <w:szCs w:val="20"/>
        </w:rPr>
        <w:t xml:space="preserve"> Daarnaa wordt de accijns tot en met 12.12.20215 geleidelijk aan verhoogd. Onderstaand tabel laat de stijging van de accijnzen zien. </w:t>
      </w:r>
    </w:p>
    <w:tbl>
      <w:tblPr>
        <w:tblStyle w:val="LightList-Accent6"/>
        <w:tblW w:w="0" w:type="auto"/>
        <w:tblLook w:val="04A0" w:firstRow="1" w:lastRow="0" w:firstColumn="1" w:lastColumn="0" w:noHBand="0" w:noVBand="1"/>
      </w:tblPr>
      <w:tblGrid>
        <w:gridCol w:w="4583"/>
        <w:gridCol w:w="4583"/>
      </w:tblGrid>
      <w:tr w:rsidR="009F6035" w:rsidTr="00AA4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gridSpan w:val="2"/>
          </w:tcPr>
          <w:p w:rsidR="009F6035" w:rsidRPr="009F6035" w:rsidRDefault="009F6035" w:rsidP="009F6035">
            <w:pPr>
              <w:rPr>
                <w:color w:val="000000"/>
                <w:sz w:val="20"/>
                <w:szCs w:val="20"/>
              </w:rPr>
            </w:pPr>
            <w:r>
              <w:rPr>
                <w:rFonts w:ascii="Verdana" w:hAnsi="Verdana"/>
                <w:sz w:val="20"/>
                <w:szCs w:val="20"/>
              </w:rPr>
              <w:t>Accijnsverhoging België</w:t>
            </w:r>
          </w:p>
        </w:tc>
      </w:tr>
      <w:tr w:rsidR="009F6035" w:rsidTr="009F6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9F6035" w:rsidRPr="009F6035" w:rsidRDefault="009F6035">
            <w:pPr>
              <w:rPr>
                <w:rFonts w:ascii="Verdana" w:hAnsi="Verdana"/>
                <w:b w:val="0"/>
                <w:sz w:val="20"/>
                <w:szCs w:val="20"/>
              </w:rPr>
            </w:pPr>
            <w:r w:rsidRPr="009F6035">
              <w:rPr>
                <w:rFonts w:ascii="Verdana" w:hAnsi="Verdana"/>
                <w:b w:val="0"/>
                <w:sz w:val="20"/>
                <w:szCs w:val="20"/>
              </w:rPr>
              <w:t>Tot 01.11.2015</w:t>
            </w:r>
          </w:p>
        </w:tc>
        <w:tc>
          <w:tcPr>
            <w:tcW w:w="4583" w:type="dxa"/>
          </w:tcPr>
          <w:p w:rsidR="009F6035" w:rsidRPr="009F6035" w:rsidRDefault="009F6035" w:rsidP="009F6035">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9F6035">
              <w:rPr>
                <w:color w:val="000000"/>
                <w:sz w:val="20"/>
                <w:szCs w:val="20"/>
              </w:rPr>
              <w:t>€ 0.07</w:t>
            </w:r>
            <w:r w:rsidRPr="009F6035">
              <w:rPr>
                <w:color w:val="000000"/>
                <w:sz w:val="20"/>
                <w:szCs w:val="20"/>
              </w:rPr>
              <w:t>90</w:t>
            </w:r>
            <w:r w:rsidRPr="009F6035">
              <w:rPr>
                <w:color w:val="000000"/>
                <w:sz w:val="20"/>
                <w:szCs w:val="20"/>
              </w:rPr>
              <w:t>          </w:t>
            </w:r>
          </w:p>
        </w:tc>
      </w:tr>
      <w:tr w:rsidR="009F6035" w:rsidTr="009F6035">
        <w:tc>
          <w:tcPr>
            <w:cnfStyle w:val="001000000000" w:firstRow="0" w:lastRow="0" w:firstColumn="1" w:lastColumn="0" w:oddVBand="0" w:evenVBand="0" w:oddHBand="0" w:evenHBand="0" w:firstRowFirstColumn="0" w:firstRowLastColumn="0" w:lastRowFirstColumn="0" w:lastRowLastColumn="0"/>
            <w:tcW w:w="4583" w:type="dxa"/>
          </w:tcPr>
          <w:p w:rsidR="009F6035" w:rsidRPr="009F6035" w:rsidRDefault="009F6035">
            <w:pPr>
              <w:rPr>
                <w:rFonts w:ascii="Verdana" w:hAnsi="Verdana"/>
                <w:b w:val="0"/>
                <w:sz w:val="20"/>
                <w:szCs w:val="20"/>
              </w:rPr>
            </w:pPr>
            <w:r w:rsidRPr="009F6035">
              <w:rPr>
                <w:rFonts w:ascii="Verdana" w:hAnsi="Verdana"/>
                <w:b w:val="0"/>
                <w:sz w:val="20"/>
                <w:szCs w:val="20"/>
              </w:rPr>
              <w:t>Tot 20.11.2015</w:t>
            </w:r>
          </w:p>
        </w:tc>
        <w:tc>
          <w:tcPr>
            <w:tcW w:w="4583" w:type="dxa"/>
          </w:tcPr>
          <w:p w:rsidR="009F6035" w:rsidRPr="009F6035" w:rsidRDefault="009F6035">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9F6035">
              <w:rPr>
                <w:color w:val="000000"/>
                <w:sz w:val="20"/>
                <w:szCs w:val="20"/>
                <w:lang w:val="en-US"/>
              </w:rPr>
              <w:t>€ 0.0856        </w:t>
            </w:r>
          </w:p>
        </w:tc>
      </w:tr>
      <w:tr w:rsidR="009F6035" w:rsidTr="009F6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9F6035" w:rsidRPr="009F6035" w:rsidRDefault="009F6035">
            <w:pPr>
              <w:rPr>
                <w:rFonts w:ascii="Verdana" w:hAnsi="Verdana"/>
                <w:b w:val="0"/>
                <w:sz w:val="20"/>
                <w:szCs w:val="20"/>
              </w:rPr>
            </w:pPr>
            <w:r w:rsidRPr="009F6035">
              <w:rPr>
                <w:rFonts w:ascii="Verdana" w:hAnsi="Verdana"/>
                <w:b w:val="0"/>
                <w:sz w:val="20"/>
                <w:szCs w:val="20"/>
              </w:rPr>
              <w:t>Tot 04.12.2015</w:t>
            </w:r>
          </w:p>
        </w:tc>
        <w:tc>
          <w:tcPr>
            <w:tcW w:w="4583" w:type="dxa"/>
          </w:tcPr>
          <w:p w:rsidR="009F6035" w:rsidRPr="009F6035" w:rsidRDefault="009F6035">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9F6035">
              <w:rPr>
                <w:color w:val="000000"/>
                <w:sz w:val="20"/>
                <w:szCs w:val="20"/>
                <w:lang w:val="en-US"/>
              </w:rPr>
              <w:t>€ 0.0993        </w:t>
            </w:r>
          </w:p>
        </w:tc>
      </w:tr>
      <w:tr w:rsidR="009F6035" w:rsidTr="009F6035">
        <w:tc>
          <w:tcPr>
            <w:cnfStyle w:val="001000000000" w:firstRow="0" w:lastRow="0" w:firstColumn="1" w:lastColumn="0" w:oddVBand="0" w:evenVBand="0" w:oddHBand="0" w:evenHBand="0" w:firstRowFirstColumn="0" w:firstRowLastColumn="0" w:lastRowFirstColumn="0" w:lastRowLastColumn="0"/>
            <w:tcW w:w="4583" w:type="dxa"/>
          </w:tcPr>
          <w:p w:rsidR="009F6035" w:rsidRPr="009F6035" w:rsidRDefault="009F6035">
            <w:pPr>
              <w:rPr>
                <w:rFonts w:ascii="Verdana" w:hAnsi="Verdana"/>
                <w:b w:val="0"/>
                <w:sz w:val="20"/>
                <w:szCs w:val="20"/>
              </w:rPr>
            </w:pPr>
            <w:r w:rsidRPr="009F6035">
              <w:rPr>
                <w:rFonts w:ascii="Verdana" w:hAnsi="Verdana"/>
                <w:b w:val="0"/>
                <w:sz w:val="20"/>
                <w:szCs w:val="20"/>
              </w:rPr>
              <w:t>Tot 12.12.2015</w:t>
            </w:r>
          </w:p>
        </w:tc>
        <w:tc>
          <w:tcPr>
            <w:tcW w:w="4583" w:type="dxa"/>
          </w:tcPr>
          <w:p w:rsidR="009F6035" w:rsidRPr="009F6035" w:rsidRDefault="009F603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9F6035">
              <w:rPr>
                <w:b/>
                <w:bCs/>
                <w:color w:val="000000"/>
                <w:sz w:val="20"/>
                <w:szCs w:val="20"/>
                <w:lang w:val="en-US"/>
              </w:rPr>
              <w:t>€ 0.1123   </w:t>
            </w:r>
          </w:p>
        </w:tc>
      </w:tr>
    </w:tbl>
    <w:p w:rsidR="00F95502" w:rsidRDefault="009F6035">
      <w:pPr>
        <w:rPr>
          <w:rFonts w:ascii="Verdana" w:hAnsi="Verdana"/>
          <w:sz w:val="20"/>
          <w:szCs w:val="20"/>
        </w:rPr>
      </w:pPr>
      <w:r>
        <w:rPr>
          <w:rFonts w:ascii="Verdana" w:hAnsi="Verdana"/>
          <w:sz w:val="20"/>
          <w:szCs w:val="20"/>
        </w:rPr>
        <w:br/>
      </w:r>
      <w:r w:rsidR="00F95502">
        <w:rPr>
          <w:rFonts w:ascii="Verdana" w:hAnsi="Verdana"/>
          <w:sz w:val="20"/>
          <w:szCs w:val="20"/>
        </w:rPr>
        <w:t>Deze verhoging in accijns kan een invloed hebben op de kosten en</w:t>
      </w:r>
      <w:r w:rsidR="00E60406">
        <w:rPr>
          <w:rFonts w:ascii="Verdana" w:hAnsi="Verdana"/>
          <w:sz w:val="20"/>
          <w:szCs w:val="20"/>
        </w:rPr>
        <w:t xml:space="preserve"> de</w:t>
      </w:r>
      <w:r w:rsidR="00F95502">
        <w:rPr>
          <w:rFonts w:ascii="Verdana" w:hAnsi="Verdana"/>
          <w:sz w:val="20"/>
          <w:szCs w:val="20"/>
        </w:rPr>
        <w:t xml:space="preserve"> </w:t>
      </w:r>
      <w:r>
        <w:rPr>
          <w:rFonts w:ascii="Verdana" w:hAnsi="Verdana"/>
          <w:sz w:val="20"/>
          <w:szCs w:val="20"/>
        </w:rPr>
        <w:t xml:space="preserve">liquiditeit van uw onderneming. Vul in onderstaande Excel sheet uw aantal liters in en bereken direct het verschil! In de tabel is uitgegaan van de uiteindelijke verhoging vanaf 12.12.2015 en de vooraf prijs is gebaseerd op de accijns prijs per liter vóór 01-11-2015. </w:t>
      </w:r>
    </w:p>
    <w:p w:rsidR="001F505B" w:rsidRPr="001F505B" w:rsidRDefault="001F505B">
      <w:pPr>
        <w:rPr>
          <w:rFonts w:ascii="Verdana" w:hAnsi="Verdana"/>
          <w:i/>
          <w:sz w:val="20"/>
          <w:szCs w:val="20"/>
        </w:rPr>
      </w:pPr>
      <w:r>
        <w:rPr>
          <w:rFonts w:ascii="Verdana" w:hAnsi="Verdana"/>
          <w:i/>
          <w:sz w:val="20"/>
          <w:szCs w:val="20"/>
        </w:rPr>
        <w:t>Vul uw aantal liters in en zie direct het verschil</w:t>
      </w:r>
    </w:p>
    <w:p w:rsidR="00F95502" w:rsidRDefault="001F505B">
      <w:pPr>
        <w:rPr>
          <w:rFonts w:ascii="Verdana" w:hAnsi="Verdana"/>
          <w:sz w:val="20"/>
          <w:szCs w:val="20"/>
        </w:rPr>
      </w:pPr>
      <w:r>
        <w:fldChar w:fldCharType="begin"/>
      </w:r>
      <w:r>
        <w:instrText xml:space="preserve"> LINK </w:instrText>
      </w:r>
      <w:r w:rsidR="009F6035">
        <w:instrText xml:space="preserve">Excel.Sheet.8 "\\\\EXT2024S\\Ent03home$\\THoette\\Documents\\Marketing\\REMOBIS\\Accijns België.xls" "Met formule!R1C1:R13C2" </w:instrText>
      </w:r>
      <w:r>
        <w:instrText xml:space="preserve">\a \f 4 \h </w:instrText>
      </w:r>
      <w:r>
        <w:fldChar w:fldCharType="separate"/>
      </w:r>
      <w:bookmarkStart w:id="0" w:name="_MON_1509368165"/>
      <w:bookmarkEnd w:id="0"/>
      <w:bookmarkStart w:id="1" w:name="_MON_1511783632"/>
      <w:bookmarkEnd w:id="1"/>
      <w:r w:rsidR="00242E47">
        <w:object w:dxaOrig="9236" w:dyaOrig="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2pt;height:204pt" o:ole="">
            <v:imagedata r:id="rId6" o:title=""/>
          </v:shape>
          <o:OLEObject Type="Embed" ProgID="Excel.Sheet.12" ShapeID="_x0000_i1055" DrawAspect="Content" ObjectID="_1511785072" r:id="rId7"/>
        </w:object>
      </w:r>
      <w:r>
        <w:rPr>
          <w:rFonts w:ascii="Verdana" w:hAnsi="Verdana"/>
          <w:sz w:val="20"/>
          <w:szCs w:val="20"/>
        </w:rPr>
        <w:fldChar w:fldCharType="end"/>
      </w:r>
      <w:r w:rsidR="000C30DC">
        <w:rPr>
          <w:rFonts w:ascii="Verdana" w:hAnsi="Verdana"/>
          <w:sz w:val="20"/>
          <w:szCs w:val="20"/>
        </w:rPr>
        <w:br/>
      </w:r>
      <w:bookmarkStart w:id="2" w:name="_GoBack"/>
      <w:bookmarkEnd w:id="2"/>
      <w:r w:rsidR="009F6035">
        <w:rPr>
          <w:rFonts w:ascii="Verdana" w:hAnsi="Verdana"/>
          <w:sz w:val="20"/>
          <w:szCs w:val="20"/>
        </w:rPr>
        <w:t xml:space="preserve">Toch is er een manier om hiermee om te gaan, wist u bijvoorbeeld dat: </w:t>
      </w:r>
      <w:r w:rsidR="009F6035">
        <w:rPr>
          <w:rFonts w:ascii="Verdana" w:hAnsi="Verdana"/>
          <w:sz w:val="20"/>
          <w:szCs w:val="20"/>
        </w:rPr>
        <w:br/>
        <w:t>d</w:t>
      </w:r>
      <w:r w:rsidR="00F95502">
        <w:rPr>
          <w:rFonts w:ascii="Verdana" w:hAnsi="Verdana"/>
          <w:sz w:val="20"/>
          <w:szCs w:val="20"/>
        </w:rPr>
        <w:t>oor gebruik te maken van onze REFUND service wordt het terugvragen van uw btw door experts afgehandeld. Bent u benieuwd wat dit voor uw bedrijf kan doen? Neemt u dan contact op met onze</w:t>
      </w:r>
      <w:r w:rsidR="008A540A">
        <w:rPr>
          <w:rFonts w:ascii="Verdana" w:hAnsi="Verdana"/>
          <w:sz w:val="20"/>
          <w:szCs w:val="20"/>
        </w:rPr>
        <w:t xml:space="preserve"> refund-</w:t>
      </w:r>
      <w:r w:rsidR="00F95502">
        <w:rPr>
          <w:rFonts w:ascii="Verdana" w:hAnsi="Verdana"/>
          <w:sz w:val="20"/>
          <w:szCs w:val="20"/>
        </w:rPr>
        <w:t xml:space="preserve">specialist </w:t>
      </w:r>
      <w:hyperlink r:id="rId8" w:history="1">
        <w:r w:rsidR="00F95502" w:rsidRPr="001E14F5">
          <w:rPr>
            <w:rStyle w:val="Hyperlink"/>
            <w:rFonts w:ascii="Verdana" w:hAnsi="Verdana"/>
            <w:sz w:val="20"/>
            <w:szCs w:val="20"/>
          </w:rPr>
          <w:t>michel.vandoorn@dkv-euroservice.com</w:t>
        </w:r>
      </w:hyperlink>
      <w:r w:rsidR="00F95502">
        <w:rPr>
          <w:rFonts w:ascii="Verdana" w:hAnsi="Verdana"/>
          <w:sz w:val="20"/>
          <w:szCs w:val="20"/>
        </w:rPr>
        <w:t xml:space="preserve">. </w:t>
      </w:r>
    </w:p>
    <w:p w:rsidR="008A540A" w:rsidRDefault="008A540A">
      <w:pPr>
        <w:rPr>
          <w:rFonts w:ascii="Verdana" w:hAnsi="Verdana"/>
          <w:sz w:val="20"/>
          <w:szCs w:val="20"/>
        </w:rPr>
      </w:pPr>
    </w:p>
    <w:p w:rsidR="008A540A" w:rsidRDefault="008A540A">
      <w:pPr>
        <w:rPr>
          <w:rFonts w:ascii="Verdana" w:hAnsi="Verdana"/>
          <w:sz w:val="20"/>
          <w:szCs w:val="20"/>
        </w:rPr>
      </w:pPr>
    </w:p>
    <w:sectPr w:rsidR="008A5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02"/>
    <w:rsid w:val="000C30DC"/>
    <w:rsid w:val="00173719"/>
    <w:rsid w:val="001F505B"/>
    <w:rsid w:val="00242E47"/>
    <w:rsid w:val="005E5579"/>
    <w:rsid w:val="0064092C"/>
    <w:rsid w:val="006B607C"/>
    <w:rsid w:val="008A540A"/>
    <w:rsid w:val="009F6035"/>
    <w:rsid w:val="009F709F"/>
    <w:rsid w:val="00B50ACD"/>
    <w:rsid w:val="00BD042D"/>
    <w:rsid w:val="00E60406"/>
    <w:rsid w:val="00F95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02"/>
    <w:rPr>
      <w:color w:val="0000FF" w:themeColor="hyperlink"/>
      <w:u w:val="single"/>
    </w:rPr>
  </w:style>
  <w:style w:type="table" w:styleId="TableGrid">
    <w:name w:val="Table Grid"/>
    <w:basedOn w:val="TableNormal"/>
    <w:uiPriority w:val="59"/>
    <w:rsid w:val="009F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F60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02"/>
    <w:rPr>
      <w:color w:val="0000FF" w:themeColor="hyperlink"/>
      <w:u w:val="single"/>
    </w:rPr>
  </w:style>
  <w:style w:type="table" w:styleId="TableGrid">
    <w:name w:val="Table Grid"/>
    <w:basedOn w:val="TableNormal"/>
    <w:uiPriority w:val="59"/>
    <w:rsid w:val="009F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F60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5659">
      <w:bodyDiv w:val="1"/>
      <w:marLeft w:val="0"/>
      <w:marRight w:val="0"/>
      <w:marTop w:val="0"/>
      <w:marBottom w:val="0"/>
      <w:divBdr>
        <w:top w:val="none" w:sz="0" w:space="0" w:color="auto"/>
        <w:left w:val="none" w:sz="0" w:space="0" w:color="auto"/>
        <w:bottom w:val="none" w:sz="0" w:space="0" w:color="auto"/>
        <w:right w:val="none" w:sz="0" w:space="0" w:color="auto"/>
      </w:divBdr>
    </w:div>
    <w:div w:id="1230925248">
      <w:bodyDiv w:val="1"/>
      <w:marLeft w:val="0"/>
      <w:marRight w:val="0"/>
      <w:marTop w:val="0"/>
      <w:marBottom w:val="0"/>
      <w:divBdr>
        <w:top w:val="none" w:sz="0" w:space="0" w:color="auto"/>
        <w:left w:val="none" w:sz="0" w:space="0" w:color="auto"/>
        <w:bottom w:val="none" w:sz="0" w:space="0" w:color="auto"/>
        <w:right w:val="none" w:sz="0" w:space="0" w:color="auto"/>
      </w:divBdr>
    </w:div>
    <w:div w:id="1639456584">
      <w:bodyDiv w:val="1"/>
      <w:marLeft w:val="0"/>
      <w:marRight w:val="0"/>
      <w:marTop w:val="0"/>
      <w:marBottom w:val="0"/>
      <w:divBdr>
        <w:top w:val="none" w:sz="0" w:space="0" w:color="auto"/>
        <w:left w:val="none" w:sz="0" w:space="0" w:color="auto"/>
        <w:bottom w:val="none" w:sz="0" w:space="0" w:color="auto"/>
        <w:right w:val="none" w:sz="0" w:space="0" w:color="auto"/>
      </w:divBdr>
    </w:div>
    <w:div w:id="17552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vandoorn@dkv-euroservice.com" TargetMode="Externa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C3B2-97BB-45EE-8671-9E07C1AA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217</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EGRIMA HOLDING</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Hoette, Tom</dc:creator>
  <cp:lastModifiedBy>Hoette, Tom</cp:lastModifiedBy>
  <cp:revision>9</cp:revision>
  <dcterms:created xsi:type="dcterms:W3CDTF">2015-11-17T14:04:00Z</dcterms:created>
  <dcterms:modified xsi:type="dcterms:W3CDTF">2015-12-16T14:31:00Z</dcterms:modified>
</cp:coreProperties>
</file>